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  <w:highlight w:val="white"/>
        </w:rPr>
      </w:pPr>
      <w:bookmarkStart w:colFirst="0" w:colLast="0" w:name="_heading=h.j2wqwzbs8bb5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DUTY OF PERSONS DIRECTING WORK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recognizes its obligation to keep its employees safe from harm. It further understands that people who supervise or direct the work of others have a legal duty to keep those workers safe from harm.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will educate and train all 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“Person directing work” means any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understands that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Further,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Nova Scotia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right to refuse work that they believe is dangerous to their health and safety or that of any other worker in the workplace.</w:t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Fonts w:ascii="Calibri" w:cs="Calibri" w:eastAsia="Calibri" w:hAnsi="Calibri"/>
          <w:color w:val="1a1a1a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sets out certain specific duties for workplace supervisors. A supervisor must:</w:t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Employees must comply with their duties 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nder the </w:t>
      </w: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Nova Scotia 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highlight w:val="white"/>
          <w:rtl w:val="0"/>
        </w:rPr>
        <w:t xml:space="preserve">Occupational Health and Safety Act</w:t>
      </w: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to: 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Work in compliance with the Act and regulations 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to the employer or supervisor any known missing or defective equipment or protective device that may enda</w:t>
      </w: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nger the worker or another worker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Report any hazard or contravention of the Act or regulations to the employer or supervisor     </w:t>
      </w:r>
    </w:p>
    <w:p w:rsidR="00000000" w:rsidDel="00000000" w:rsidP="00000000" w:rsidRDefault="00000000" w:rsidRPr="00000000" w14:paraId="0000002E">
      <w:pPr>
        <w:shd w:fill="ffffff" w:val="clear"/>
        <w:ind w:left="720" w:firstLine="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3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</w:tabs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XNwh7yosJAFvoBP0IMQcfl2vg==">CgMxLjAyDmguajJ3cXd6YnM4YmI1OAByITFTc01PVUpmTkpaTTlTTnduZWZfN1BMTG82aVFZeTB6UQ==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2022-06-10T20:50:00Z</dcterms:created>
  <dc:creator>Kelly</dc:creator>
</cp:coreProperties>
</file>